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122" w:rsidRDefault="00D771EA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 meeting #</w:t>
      </w:r>
      <w:r>
        <w:rPr>
          <w:rFonts w:ascii="Arial" w:hAnsi="Arial" w:cs="Arial" w:hint="eastAsia"/>
          <w:b/>
          <w:bCs/>
          <w:sz w:val="22"/>
          <w:szCs w:val="22"/>
        </w:rPr>
        <w:t>102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RP-233631</w:t>
      </w:r>
    </w:p>
    <w:p w:rsidR="00210122" w:rsidRDefault="00D771EA">
      <w:pPr>
        <w:pStyle w:val="Arial1101987050"/>
        <w:spacing w:before="120" w:after="120"/>
        <w:rPr>
          <w:highlight w:val="yellow"/>
        </w:rPr>
      </w:pPr>
      <w:hyperlink r:id="rId9" w:tgtFrame="https://www.3gpp.org/_blank" w:history="1">
        <w:r>
          <w:rPr>
            <w:rFonts w:hint="eastAsia"/>
          </w:rPr>
          <w:t>Edinburgh</w:t>
        </w:r>
      </w:hyperlink>
      <w:r>
        <w:rPr>
          <w:rFonts w:hint="eastAsia"/>
        </w:rPr>
        <w:t>, Scotland</w:t>
      </w:r>
      <w:r>
        <w:t>,</w:t>
      </w:r>
      <w:r>
        <w:rPr>
          <w:rFonts w:hint="eastAsia"/>
        </w:rPr>
        <w:t xml:space="preserve"> December </w:t>
      </w:r>
      <w:r>
        <w:t>1</w:t>
      </w:r>
      <w:r>
        <w:rPr>
          <w:rFonts w:hint="eastAsia"/>
        </w:rPr>
        <w:t>1</w:t>
      </w:r>
      <w:r>
        <w:t xml:space="preserve"> - 1</w:t>
      </w:r>
      <w:r>
        <w:rPr>
          <w:rFonts w:hint="eastAsia"/>
        </w:rPr>
        <w:t>5</w:t>
      </w:r>
      <w:r>
        <w:t>, 2023</w:t>
      </w:r>
    </w:p>
    <w:p w:rsidR="00210122" w:rsidRDefault="00210122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210122" w:rsidRDefault="00D771EA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  <w:highlight w:val="yellow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Discussion on Rel-18 XR</w:t>
      </w:r>
      <w:r>
        <w:rPr>
          <w:rFonts w:ascii="Arial" w:hAnsi="Arial"/>
          <w:b/>
          <w:sz w:val="22"/>
          <w:szCs w:val="22"/>
        </w:rPr>
        <w:t> </w:t>
      </w:r>
    </w:p>
    <w:p w:rsidR="00210122" w:rsidRDefault="00D771EA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 xml:space="preserve">ZTE,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210122" w:rsidRDefault="00D771EA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9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ascii="Arial" w:hAnsi="Arial" w:hint="eastAsia"/>
          <w:b/>
          <w:sz w:val="22"/>
          <w:szCs w:val="22"/>
        </w:rPr>
        <w:t>3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ascii="Arial" w:hAnsi="Arial" w:hint="eastAsia"/>
          <w:b/>
          <w:sz w:val="22"/>
          <w:szCs w:val="22"/>
        </w:rPr>
        <w:t>2.9</w:t>
      </w:r>
    </w:p>
    <w:p w:rsidR="00210122" w:rsidRDefault="00D771EA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210122" w:rsidRDefault="00D771E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210122" w:rsidRDefault="00D771EA">
      <w:pPr>
        <w:spacing w:before="120" w:after="120"/>
      </w:pPr>
      <w:r>
        <w:rPr>
          <w:rFonts w:hint="eastAsia"/>
        </w:rPr>
        <w:t xml:space="preserve">In RAN#101 meeting, two proposals regarding 2Rx XR devices were provided for </w:t>
      </w:r>
      <w:r>
        <w:rPr>
          <w:rFonts w:cs="Arial"/>
        </w:rPr>
        <w:t>Way forward and next step</w:t>
      </w:r>
      <w:r>
        <w:rPr>
          <w:rFonts w:cs="Arial" w:hint="eastAsia"/>
        </w:rPr>
        <w:t xml:space="preserve">s </w:t>
      </w:r>
      <w:r>
        <w:rPr>
          <w:rFonts w:hint="eastAsia"/>
        </w:rPr>
        <w:t>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210122">
        <w:tc>
          <w:tcPr>
            <w:tcW w:w="9876" w:type="dxa"/>
          </w:tcPr>
          <w:p w:rsidR="00210122" w:rsidRDefault="00D771EA">
            <w:pPr>
              <w:spacing w:before="120" w:after="120"/>
            </w:pPr>
            <w:r>
              <w:rPr>
                <w:b/>
                <w:bCs/>
                <w:highlight w:val="green"/>
                <w:u w:val="single"/>
              </w:rPr>
              <w:t>Proposed resolution for Step-1</w:t>
            </w:r>
            <w:r>
              <w:t xml:space="preserve"> for the purpose of continuing discussions to Step-2:</w:t>
            </w:r>
          </w:p>
          <w:p w:rsidR="00210122" w:rsidRDefault="00D771EA">
            <w:pPr>
              <w:pStyle w:val="af9"/>
              <w:numPr>
                <w:ilvl w:val="0"/>
                <w:numId w:val="6"/>
              </w:numPr>
              <w:spacing w:after="120"/>
              <w:rPr>
                <w:i/>
                <w:iCs/>
                <w:color w:val="212121"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Handheld smartphone UEs are excluded from any 2Rx relaxation for XR wearables.</w:t>
            </w:r>
          </w:p>
          <w:p w:rsidR="00210122" w:rsidRDefault="00D771EA">
            <w:pPr>
              <w:pStyle w:val="af9"/>
              <w:spacing w:after="120"/>
              <w:rPr>
                <w:i/>
                <w:iCs/>
                <w:color w:val="212121"/>
                <w:sz w:val="21"/>
                <w:szCs w:val="21"/>
              </w:rPr>
            </w:pPr>
            <w:r>
              <w:rPr>
                <w:i/>
                <w:iCs/>
                <w:color w:val="212121"/>
                <w:sz w:val="21"/>
                <w:szCs w:val="21"/>
              </w:rPr>
              <w:t>The default for non-</w:t>
            </w:r>
            <w:proofErr w:type="spellStart"/>
            <w:r>
              <w:rPr>
                <w:i/>
                <w:iCs/>
                <w:color w:val="212121"/>
                <w:sz w:val="21"/>
                <w:szCs w:val="21"/>
              </w:rPr>
              <w:t>RedCap</w:t>
            </w:r>
            <w:proofErr w:type="spellEnd"/>
            <w:r>
              <w:rPr>
                <w:i/>
                <w:iCs/>
                <w:color w:val="212121"/>
                <w:sz w:val="21"/>
                <w:szCs w:val="21"/>
              </w:rPr>
              <w:t xml:space="preserve"> XR-wearable UEs is 4Rx (for frequency bands where 4Rx is mandated).</w:t>
            </w:r>
          </w:p>
          <w:p w:rsidR="00210122" w:rsidRDefault="00D771EA">
            <w:pPr>
              <w:pStyle w:val="af9"/>
              <w:spacing w:after="120"/>
              <w:rPr>
                <w:i/>
                <w:iCs/>
                <w:color w:val="212121"/>
                <w:sz w:val="21"/>
                <w:szCs w:val="21"/>
              </w:rPr>
            </w:pPr>
            <w:r>
              <w:rPr>
                <w:i/>
                <w:iCs/>
                <w:color w:val="212121"/>
                <w:sz w:val="21"/>
                <w:szCs w:val="21"/>
              </w:rPr>
              <w:t>A non-</w:t>
            </w:r>
            <w:proofErr w:type="spellStart"/>
            <w:r>
              <w:rPr>
                <w:i/>
                <w:iCs/>
                <w:color w:val="212121"/>
                <w:sz w:val="21"/>
                <w:szCs w:val="21"/>
              </w:rPr>
              <w:t>RedCap</w:t>
            </w:r>
            <w:proofErr w:type="spellEnd"/>
            <w:r>
              <w:rPr>
                <w:i/>
                <w:iCs/>
                <w:color w:val="212121"/>
                <w:sz w:val="21"/>
                <w:szCs w:val="21"/>
              </w:rPr>
              <w:t xml:space="preserve"> XR-wearable UE can be considered for 2Rx relaxation (for frequency bands where 4Rx is mandated) if and only if: </w:t>
            </w:r>
          </w:p>
          <w:p w:rsidR="00210122" w:rsidRDefault="00D771EA">
            <w:pPr>
              <w:pStyle w:val="af9"/>
              <w:numPr>
                <w:ilvl w:val="0"/>
                <w:numId w:val="7"/>
              </w:numPr>
              <w:spacing w:after="120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Intended to be worn on the human head;</w:t>
            </w:r>
          </w:p>
          <w:p w:rsidR="00210122" w:rsidRDefault="00D771EA">
            <w:pPr>
              <w:pStyle w:val="af9"/>
              <w:numPr>
                <w:ilvl w:val="0"/>
                <w:numId w:val="7"/>
              </w:numPr>
              <w:spacing w:after="120"/>
              <w:rPr>
                <w:i/>
                <w:iCs/>
              </w:rPr>
            </w:pPr>
            <w:r>
              <w:rPr>
                <w:i/>
                <w:iCs/>
                <w:sz w:val="21"/>
                <w:szCs w:val="21"/>
              </w:rPr>
              <w:t>When in use, is intended to be supported only by/behind the ears and by a nose-bridge resul</w:t>
            </w:r>
            <w:r>
              <w:rPr>
                <w:i/>
                <w:iCs/>
                <w:sz w:val="21"/>
                <w:szCs w:val="21"/>
              </w:rPr>
              <w:t xml:space="preserve">ting in a constrained form factor with limited volume available for Rx chains; </w:t>
            </w:r>
          </w:p>
          <w:p w:rsidR="00210122" w:rsidRDefault="00D771EA">
            <w:pPr>
              <w:spacing w:before="120" w:after="120"/>
              <w:rPr>
                <w:i/>
                <w:iCs/>
              </w:rPr>
            </w:pPr>
            <w:r>
              <w:rPr>
                <w:i/>
                <w:iCs/>
              </w:rPr>
              <w:t xml:space="preserve">        -</w:t>
            </w:r>
            <w:r>
              <w:rPr>
                <w:i/>
                <w:iCs/>
              </w:rPr>
              <w:tab/>
              <w:t>No other relaxation is being considered apart from number of Rx antennas.</w:t>
            </w:r>
          </w:p>
          <w:p w:rsidR="00210122" w:rsidRDefault="00D771EA">
            <w:pPr>
              <w:spacing w:before="120" w:after="120"/>
            </w:pPr>
            <w:r>
              <w:t>_______________________________________________________________________________</w:t>
            </w:r>
          </w:p>
          <w:p w:rsidR="00210122" w:rsidRDefault="00D771EA">
            <w:pPr>
              <w:spacing w:before="120" w:after="120"/>
            </w:pPr>
            <w:r>
              <w:t>Step-2 is ou</w:t>
            </w:r>
            <w:r>
              <w:t>tlined as follows (cf. RP-230740):</w:t>
            </w:r>
          </w:p>
          <w:p w:rsidR="00210122" w:rsidRDefault="00D771EA">
            <w:pPr>
              <w:spacing w:before="120" w:after="120"/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“Step-2: Recognize the importance of identifying these devices in the network, and potential network impact (e.g. performance, coverage, capacity) and UE impact</w:t>
            </w:r>
          </w:p>
          <w:p w:rsidR="00210122" w:rsidRDefault="00D771EA">
            <w:pPr>
              <w:pStyle w:val="af9"/>
              <w:numPr>
                <w:ilvl w:val="0"/>
                <w:numId w:val="7"/>
              </w:numPr>
              <w:spacing w:after="120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Details of Step-2 will be further defined following the matu</w:t>
            </w:r>
            <w:r>
              <w:rPr>
                <w:i/>
                <w:iCs/>
                <w:sz w:val="21"/>
                <w:szCs w:val="21"/>
              </w:rPr>
              <w:t>rity of Step-1”</w:t>
            </w:r>
          </w:p>
          <w:p w:rsidR="00210122" w:rsidRDefault="00210122">
            <w:pPr>
              <w:spacing w:before="120" w:after="120"/>
            </w:pPr>
          </w:p>
          <w:p w:rsidR="00210122" w:rsidRDefault="00D771EA">
            <w:pPr>
              <w:spacing w:before="120" w:after="120"/>
              <w:rPr>
                <w:b/>
                <w:bCs/>
                <w:highlight w:val="green"/>
                <w:u w:val="single"/>
              </w:rPr>
            </w:pPr>
            <w:r>
              <w:rPr>
                <w:b/>
                <w:bCs/>
                <w:highlight w:val="green"/>
                <w:u w:val="single"/>
              </w:rPr>
              <w:t>Proposed scope for Step-2 for RAN#102:</w:t>
            </w:r>
          </w:p>
          <w:p w:rsidR="00210122" w:rsidRDefault="00D771EA">
            <w:pPr>
              <w:spacing w:before="120" w:after="120"/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Address the impacts to RF and OTA requirements for non-</w:t>
            </w:r>
            <w:proofErr w:type="spellStart"/>
            <w:r>
              <w:rPr>
                <w:i/>
                <w:iCs/>
              </w:rPr>
              <w:t>RedCap</w:t>
            </w:r>
            <w:proofErr w:type="spellEnd"/>
            <w:r>
              <w:rPr>
                <w:i/>
                <w:iCs/>
              </w:rPr>
              <w:t xml:space="preserve"> 2Rx XR devices, and their potential network impact (performance, coverage, capacity, </w:t>
            </w:r>
            <w:proofErr w:type="spellStart"/>
            <w:r>
              <w:rPr>
                <w:i/>
                <w:iCs/>
              </w:rPr>
              <w:t>etc</w:t>
            </w:r>
            <w:proofErr w:type="spellEnd"/>
            <w:r>
              <w:rPr>
                <w:i/>
                <w:iCs/>
              </w:rPr>
              <w:t>…) and the mitigation techniques.</w:t>
            </w:r>
          </w:p>
          <w:p w:rsidR="00210122" w:rsidRDefault="00D771EA">
            <w:pPr>
              <w:spacing w:before="120" w:after="120"/>
              <w:ind w:left="720"/>
            </w:pPr>
            <w:r>
              <w:rPr>
                <w:i/>
                <w:iCs/>
              </w:rPr>
              <w:t>It is assumed th</w:t>
            </w:r>
            <w:r>
              <w:rPr>
                <w:i/>
                <w:iCs/>
              </w:rPr>
              <w:t>at there is a need for the network to clearly identify non-</w:t>
            </w:r>
            <w:proofErr w:type="spellStart"/>
            <w:r>
              <w:rPr>
                <w:i/>
                <w:iCs/>
              </w:rPr>
              <w:t>RedCap</w:t>
            </w:r>
            <w:proofErr w:type="spellEnd"/>
            <w:r>
              <w:rPr>
                <w:i/>
                <w:iCs/>
              </w:rPr>
              <w:t xml:space="preserve"> XR devices with 2Rx restriction.</w:t>
            </w:r>
          </w:p>
        </w:tc>
      </w:tr>
    </w:tbl>
    <w:p w:rsidR="00210122" w:rsidRDefault="00D771EA">
      <w:pPr>
        <w:spacing w:before="120" w:after="120"/>
      </w:pPr>
      <w:r>
        <w:rPr>
          <w:rFonts w:hint="eastAsia"/>
        </w:rPr>
        <w:t>In this paper, we continue to discuss 2Rx XR devices identification and potential impact of 2Rx XR devices.</w:t>
      </w:r>
    </w:p>
    <w:p w:rsidR="00210122" w:rsidRDefault="00D771EA">
      <w:pPr>
        <w:pStyle w:val="1"/>
        <w:spacing w:before="120" w:after="120"/>
        <w:ind w:left="0"/>
      </w:pPr>
      <w:r>
        <w:rPr>
          <w:rFonts w:eastAsia="宋体" w:hint="eastAsia"/>
        </w:rPr>
        <w:t>2Rx XR devices</w:t>
      </w:r>
    </w:p>
    <w:p w:rsidR="00210122" w:rsidRDefault="00D771EA">
      <w:pPr>
        <w:spacing w:before="120" w:after="1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 xml:space="preserve">Proposed resolution for 2Rx XR </w:t>
      </w:r>
      <w:r>
        <w:rPr>
          <w:rFonts w:hint="eastAsia"/>
          <w:b/>
          <w:bCs/>
          <w:u w:val="single"/>
        </w:rPr>
        <w:t>device identification</w:t>
      </w:r>
    </w:p>
    <w:p w:rsidR="00210122" w:rsidRDefault="00D771EA">
      <w:pPr>
        <w:spacing w:before="120" w:after="120"/>
      </w:pPr>
      <w:r>
        <w:rPr>
          <w:rFonts w:hint="eastAsia"/>
        </w:rPr>
        <w:t>In order to avoid mis-use of the 2Rx relaxation, a non-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XR-wearable 2Rx relaxation should be only satisfied following two conditions: </w:t>
      </w:r>
    </w:p>
    <w:p w:rsidR="00210122" w:rsidRDefault="00D771EA">
      <w:pPr>
        <w:numPr>
          <w:ilvl w:val="0"/>
          <w:numId w:val="8"/>
        </w:numPr>
        <w:spacing w:before="120" w:after="120"/>
      </w:pPr>
      <w:r>
        <w:rPr>
          <w:rFonts w:hint="eastAsia"/>
        </w:rPr>
        <w:lastRenderedPageBreak/>
        <w:t>The devices are intended to be worn on the human head.</w:t>
      </w:r>
    </w:p>
    <w:p w:rsidR="00210122" w:rsidRDefault="00D771EA">
      <w:pPr>
        <w:numPr>
          <w:ilvl w:val="0"/>
          <w:numId w:val="8"/>
        </w:numPr>
        <w:spacing w:before="120" w:after="120"/>
      </w:pPr>
      <w:r>
        <w:rPr>
          <w:rFonts w:hint="eastAsia"/>
        </w:rPr>
        <w:t xml:space="preserve">The devices are supported only </w:t>
      </w:r>
      <w:r>
        <w:rPr>
          <w:rFonts w:hint="eastAsia"/>
        </w:rPr>
        <w:t>by/behind the ears and by a nose-bridge.</w:t>
      </w:r>
    </w:p>
    <w:p w:rsidR="00210122" w:rsidRDefault="00D771EA">
      <w:pPr>
        <w:spacing w:before="120" w:after="120"/>
      </w:pPr>
      <w:r>
        <w:rPr>
          <w:rFonts w:hint="eastAsia"/>
        </w:rPr>
        <w:t>Based on the resolution, we think defining a dedicated device type is a simple and natural solution. Moreover, the limitation of 2Rx relaxation can be further achieved by above two mentioned conditions for the dedic</w:t>
      </w:r>
      <w:r>
        <w:rPr>
          <w:rFonts w:hint="eastAsia"/>
        </w:rPr>
        <w:t xml:space="preserve">ated device type. </w:t>
      </w:r>
    </w:p>
    <w:p w:rsidR="00210122" w:rsidRDefault="00D771EA">
      <w:pPr>
        <w:pStyle w:val="YJ-Proposal"/>
        <w:spacing w:before="120" w:after="120"/>
        <w:jc w:val="both"/>
        <w:rPr>
          <w:lang w:val="en-US" w:eastAsia="zh-CN"/>
        </w:rPr>
      </w:pPr>
      <w:bookmarkStart w:id="0" w:name="_Toc152621344"/>
      <w:r>
        <w:rPr>
          <w:rFonts w:hint="eastAsia"/>
          <w:lang w:val="en-US" w:eastAsia="zh-CN"/>
        </w:rPr>
        <w:t>Define a new device</w:t>
      </w:r>
      <w:r>
        <w:rPr>
          <w:lang w:val="en-US" w:eastAsia="zh-CN"/>
        </w:rPr>
        <w:t xml:space="preserve"> type</w:t>
      </w:r>
      <w:r>
        <w:rPr>
          <w:rFonts w:hint="eastAsia"/>
          <w:lang w:val="en-US" w:eastAsia="zh-CN"/>
        </w:rPr>
        <w:t xml:space="preserve"> for 2Rx XR device, </w:t>
      </w:r>
      <w:r>
        <w:rPr>
          <w:lang w:val="en-US" w:eastAsia="zh-CN"/>
        </w:rPr>
        <w:t xml:space="preserve">which is restricted to devices that are </w:t>
      </w:r>
      <w:r>
        <w:rPr>
          <w:sz w:val="21"/>
          <w:szCs w:val="21"/>
        </w:rPr>
        <w:t>to be supported only by/behind the ears and by a nose-bridge resulting in a constrained form factor with limited volume available for Rx chains</w:t>
      </w:r>
      <w:r>
        <w:rPr>
          <w:rFonts w:hint="eastAsia"/>
          <w:lang w:val="en-US" w:eastAsia="zh-CN"/>
        </w:rPr>
        <w:t>.</w:t>
      </w:r>
      <w:bookmarkEnd w:id="0"/>
      <w:r>
        <w:rPr>
          <w:rFonts w:hint="eastAsia"/>
          <w:lang w:val="en-US" w:eastAsia="zh-CN"/>
        </w:rPr>
        <w:t xml:space="preserve">  </w:t>
      </w:r>
    </w:p>
    <w:p w:rsidR="00210122" w:rsidRDefault="00D771EA">
      <w:pPr>
        <w:spacing w:before="120" w:after="120"/>
      </w:pPr>
      <w:r>
        <w:rPr>
          <w:rFonts w:hint="eastAsia"/>
        </w:rPr>
        <w:t>Moreov</w:t>
      </w:r>
      <w:r>
        <w:rPr>
          <w:rFonts w:hint="eastAsia"/>
        </w:rPr>
        <w:t>er, if new frequency bands are going to be introduced in the future, a separate discussion is needed for applying the 2Rx relaxation instead of automatically applying 2Rx XR devices to new frequency bands.</w:t>
      </w:r>
    </w:p>
    <w:p w:rsidR="00210122" w:rsidRDefault="00D771EA">
      <w:pPr>
        <w:pStyle w:val="YJ-Proposal"/>
        <w:spacing w:before="120" w:after="120"/>
        <w:jc w:val="both"/>
        <w:rPr>
          <w:lang w:val="en-US" w:eastAsia="zh-CN"/>
        </w:rPr>
      </w:pPr>
      <w:bookmarkStart w:id="1" w:name="_Toc152621345"/>
      <w:r>
        <w:rPr>
          <w:rFonts w:hint="eastAsia"/>
          <w:lang w:val="en-US" w:eastAsia="zh-CN"/>
        </w:rPr>
        <w:t xml:space="preserve">Whether the number of </w:t>
      </w:r>
      <w:r w:rsidR="00557644">
        <w:rPr>
          <w:lang w:val="en-US" w:eastAsia="zh-CN"/>
        </w:rPr>
        <w:t xml:space="preserve">Rx </w:t>
      </w:r>
      <w:r>
        <w:rPr>
          <w:rFonts w:hint="eastAsia"/>
          <w:lang w:val="en-US" w:eastAsia="zh-CN"/>
        </w:rPr>
        <w:t xml:space="preserve">antenna </w:t>
      </w:r>
      <w:r>
        <w:rPr>
          <w:rFonts w:hint="eastAsia"/>
          <w:lang w:val="en-US" w:eastAsia="zh-CN"/>
        </w:rPr>
        <w:t>can be relaxed</w:t>
      </w:r>
      <w:r>
        <w:rPr>
          <w:rFonts w:hint="eastAsia"/>
          <w:lang w:val="en-US" w:eastAsia="zh-CN"/>
        </w:rPr>
        <w:t xml:space="preserve"> for any new frequency bands introduced in the future should be discussed separately.</w:t>
      </w:r>
      <w:bookmarkEnd w:id="1"/>
    </w:p>
    <w:p w:rsidR="00210122" w:rsidRDefault="00210122">
      <w:pPr>
        <w:spacing w:before="120" w:after="120"/>
      </w:pPr>
    </w:p>
    <w:p w:rsidR="00210122" w:rsidRDefault="00D771EA">
      <w:pPr>
        <w:spacing w:before="120" w:after="1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Proposed scope for Step-2 for 2Rx XR devices</w:t>
      </w:r>
    </w:p>
    <w:p w:rsidR="00210122" w:rsidRDefault="00D771EA">
      <w:pPr>
        <w:spacing w:before="120" w:after="120"/>
      </w:pPr>
      <w:r>
        <w:rPr>
          <w:rFonts w:hint="eastAsia"/>
        </w:rPr>
        <w:t>Based on 2Rx XR device identification, the next step is to address the impacts to RF and OTA requirement and the potential n</w:t>
      </w:r>
      <w:r>
        <w:rPr>
          <w:rFonts w:hint="eastAsia"/>
        </w:rPr>
        <w:t>etwork impact, including e.g., coverage, capacity, mobility and so on.</w:t>
      </w:r>
    </w:p>
    <w:p w:rsidR="00210122" w:rsidRDefault="00D771EA">
      <w:pPr>
        <w:spacing w:before="120" w:after="120"/>
      </w:pPr>
      <w:r>
        <w:rPr>
          <w:rFonts w:hint="eastAsia"/>
        </w:rPr>
        <w:t>F</w:t>
      </w:r>
      <w:r>
        <w:t xml:space="preserve">or the impact on </w:t>
      </w:r>
      <w:bookmarkStart w:id="2" w:name="OLE_LINK2"/>
      <w:bookmarkStart w:id="3" w:name="OLE_LINK1"/>
      <w:r>
        <w:t xml:space="preserve">capacity </w:t>
      </w:r>
      <w:bookmarkEnd w:id="2"/>
      <w:bookmarkEnd w:id="3"/>
      <w:r>
        <w:t>of Rx antenna reduction, we have provided evaluation results in [2], which are extracted in Table 1 as below. The details of evaluation assumption can be foun</w:t>
      </w:r>
      <w:r>
        <w:t>d in [2].</w:t>
      </w:r>
    </w:p>
    <w:p w:rsidR="00210122" w:rsidRDefault="00D771EA">
      <w:pPr>
        <w:snapToGrid w:val="0"/>
        <w:spacing w:before="120" w:after="120" w:line="264" w:lineRule="auto"/>
        <w:jc w:val="center"/>
        <w:rPr>
          <w:rFonts w:ascii="宋体" w:hAnsi="宋体"/>
        </w:rPr>
      </w:pPr>
      <w:r>
        <w:rPr>
          <w:rFonts w:hint="eastAsia"/>
        </w:rPr>
        <w:t>Table</w:t>
      </w:r>
      <w:r>
        <w:t xml:space="preserve">1 </w:t>
      </w:r>
      <w:r>
        <w:rPr>
          <w:rFonts w:hint="eastAsia"/>
        </w:rPr>
        <w:t>Capacity performance between 4Rx UE and 2Rx UE</w:t>
      </w:r>
      <w:r>
        <w:rPr>
          <w:rFonts w:hint="eastAsi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2142"/>
        <w:gridCol w:w="1996"/>
        <w:gridCol w:w="2015"/>
        <w:gridCol w:w="1882"/>
      </w:tblGrid>
      <w:tr w:rsidR="00210122"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Traffic model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Scenario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Capacity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Capacity loss</w:t>
            </w:r>
          </w:p>
        </w:tc>
      </w:tr>
      <w:tr w:rsidR="002101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b/>
                <w:bCs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b/>
                <w:bCs/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4 Rx UE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2 Rx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b/>
                <w:bCs/>
                <w:sz w:val="20"/>
              </w:rPr>
            </w:pPr>
          </w:p>
        </w:tc>
      </w:tr>
      <w:tr w:rsidR="00210122"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AR/VR 30Mbps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Indoor </w:t>
            </w:r>
            <w:proofErr w:type="spellStart"/>
            <w:r>
              <w:rPr>
                <w:rFonts w:hint="eastAsia"/>
                <w:sz w:val="20"/>
              </w:rPr>
              <w:t>HotSpot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11.4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36.8%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Dense Urban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12.5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40.8%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Urban Macro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5.8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42.0%</w:t>
            </w:r>
          </w:p>
        </w:tc>
      </w:tr>
      <w:tr w:rsidR="00210122"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AR/VR 45Mbps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 xml:space="preserve">Indoor </w:t>
            </w:r>
            <w:proofErr w:type="spellStart"/>
            <w:r>
              <w:rPr>
                <w:rFonts w:hint="eastAsia"/>
                <w:sz w:val="20"/>
              </w:rPr>
              <w:t>HotSpot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7.2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55.6%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>Dense Urban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7.8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3.7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52.6%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>Urban Macro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2.7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55.0%</w:t>
            </w:r>
          </w:p>
        </w:tc>
      </w:tr>
      <w:tr w:rsidR="00210122"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CG 30Mbps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 xml:space="preserve">Indoor </w:t>
            </w:r>
            <w:proofErr w:type="spellStart"/>
            <w:r>
              <w:rPr>
                <w:rFonts w:hint="eastAsia"/>
                <w:sz w:val="20"/>
              </w:rPr>
              <w:t>HotSpot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12.9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7.6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41.1%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>Dense Urban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14.7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8.4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42.9%</w:t>
            </w:r>
          </w:p>
        </w:tc>
      </w:tr>
      <w:tr w:rsidR="002101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210122">
            <w:pPr>
              <w:spacing w:before="120" w:after="120"/>
              <w:rPr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0"/>
              </w:rPr>
              <w:t>Urban Macro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11.6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6.9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22" w:rsidRDefault="00D771EA">
            <w:pPr>
              <w:snapToGrid w:val="0"/>
              <w:spacing w:before="120" w:after="120" w:line="264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40.5%</w:t>
            </w:r>
          </w:p>
        </w:tc>
      </w:tr>
    </w:tbl>
    <w:p w:rsidR="00210122" w:rsidRDefault="00D771EA">
      <w:pPr>
        <w:spacing w:before="120" w:after="120"/>
      </w:pPr>
      <w:r>
        <w:t xml:space="preserve">It can be observed that in Indoor </w:t>
      </w:r>
      <w:proofErr w:type="spellStart"/>
      <w:r>
        <w:t>HotSpot</w:t>
      </w:r>
      <w:proofErr w:type="spellEnd"/>
      <w:r>
        <w:t>, Dense Urban and Urban Macro scenarios, for AR/VR30Mbps, AR/VR45Mbps and CG30Mbps, two Rx devices would cause capacity performance loss in a range from 36.8% to 55.6% compared to four Rx UEs.</w:t>
      </w:r>
    </w:p>
    <w:p w:rsidR="00210122" w:rsidRDefault="00D771EA">
      <w:pPr>
        <w:spacing w:before="120" w:after="120"/>
      </w:pPr>
      <w:r>
        <w:lastRenderedPageBreak/>
        <w:t>The reference sensitiv</w:t>
      </w:r>
      <w:r>
        <w:t xml:space="preserve">ity power level for 2Rx normal UE, Redcap and V2X are specified in TS38.101-1. </w:t>
      </w:r>
      <w:r>
        <w:rPr>
          <w:rFonts w:hint="eastAsia"/>
        </w:rPr>
        <w:t>H</w:t>
      </w:r>
      <w:r>
        <w:t xml:space="preserve">owever, the form factor of 2Rx </w:t>
      </w:r>
      <w:r>
        <w:rPr>
          <w:rFonts w:hint="eastAsia"/>
        </w:rPr>
        <w:t>XR</w:t>
      </w:r>
      <w:r>
        <w:t xml:space="preserve"> device is quite different from these UE types defined in TS38.101-1, whether the legacy RF requirements can be reused or how to define RF requ</w:t>
      </w:r>
      <w:r>
        <w:t xml:space="preserve">irements for 2Rx </w:t>
      </w:r>
      <w:r>
        <w:rPr>
          <w:rFonts w:hint="eastAsia"/>
        </w:rPr>
        <w:t>XR</w:t>
      </w:r>
      <w:r>
        <w:t xml:space="preserve"> devices needs RAN4 involvement.</w:t>
      </w:r>
    </w:p>
    <w:p w:rsidR="00210122" w:rsidRDefault="00D771EA">
      <w:pPr>
        <w:spacing w:before="120" w:after="120"/>
      </w:pPr>
      <w:r>
        <w:t>Furthermore, RAN2 needs to discuss how the 2RX XR devices can be identified at the network.</w:t>
      </w:r>
    </w:p>
    <w:p w:rsidR="00210122" w:rsidRDefault="00D771EA">
      <w:pPr>
        <w:spacing w:before="120" w:after="120"/>
      </w:pPr>
      <w:r>
        <w:t>To this end, t</w:t>
      </w:r>
      <w:r>
        <w:rPr>
          <w:rFonts w:hint="eastAsia"/>
        </w:rPr>
        <w:t>he evaluation</w:t>
      </w:r>
      <w:r>
        <w:t xml:space="preserve"> on the RF/OTA impact of 2Rx XR device</w:t>
      </w:r>
      <w:r>
        <w:rPr>
          <w:rFonts w:hint="eastAsia"/>
        </w:rPr>
        <w:t xml:space="preserve"> should require </w:t>
      </w:r>
      <w:r>
        <w:t>WG</w:t>
      </w:r>
      <w:r>
        <w:rPr>
          <w:rFonts w:hint="eastAsia"/>
        </w:rPr>
        <w:t xml:space="preserve"> involve</w:t>
      </w:r>
      <w:r>
        <w:t>ment</w:t>
      </w:r>
      <w:r>
        <w:rPr>
          <w:rFonts w:hint="eastAsia"/>
        </w:rPr>
        <w:t xml:space="preserve">. </w:t>
      </w:r>
    </w:p>
    <w:p w:rsidR="00210122" w:rsidRDefault="00D771EA">
      <w:pPr>
        <w:spacing w:before="120" w:after="120"/>
      </w:pPr>
      <w:r>
        <w:t xml:space="preserve">Then, the main question is how to identify these 2RX devices in the networks (as required by the agreement from RAN#101). </w:t>
      </w:r>
      <w:proofErr w:type="spellStart"/>
      <w:r>
        <w:t>Signalling</w:t>
      </w:r>
      <w:proofErr w:type="spellEnd"/>
      <w:r>
        <w:t xml:space="preserve"> updates to support identification of 2RX devices will be needed. Furthermore, if identification of these devices needs to b</w:t>
      </w:r>
      <w:r>
        <w:t>e made early in the connection setup process then even more changes will be needed in RAN2 framework. Whether this work can proceed within Rel-18 is then a question that needs to be answered. In our view, if 2RX devices are supported in Rel-18, then identi</w:t>
      </w:r>
      <w:r>
        <w:t>fication of such devices in the network and potential access restrictions for such devices in the network should also be specified within Rel-18. Alternatively, we can support this in Rel-19 with the intention to enable early implementation of this feature</w:t>
      </w:r>
      <w:r>
        <w:t xml:space="preserve">. </w:t>
      </w:r>
    </w:p>
    <w:p w:rsidR="00210122" w:rsidRDefault="00D771EA">
      <w:pPr>
        <w:pStyle w:val="YJ-Proposal"/>
        <w:spacing w:before="120" w:after="120"/>
        <w:jc w:val="both"/>
        <w:rPr>
          <w:lang w:val="en-US" w:eastAsia="zh-CN"/>
        </w:rPr>
      </w:pPr>
      <w:bookmarkStart w:id="4" w:name="_Toc152621346"/>
      <w:r>
        <w:rPr>
          <w:lang w:val="en-US" w:eastAsia="zh-CN"/>
        </w:rPr>
        <w:t>If 2RX devices are supported in Rel-18, the corresponding work for the network to identify the 2RX devices and any associated work to enable access restrictions if needed, should also be specified within Rel-18. Alternatively, support of these can be mo</w:t>
      </w:r>
      <w:r>
        <w:rPr>
          <w:lang w:val="en-US" w:eastAsia="zh-CN"/>
        </w:rPr>
        <w:t>ved to Rel-19 with the intention to enable early implementation of the feature.</w:t>
      </w:r>
      <w:bookmarkEnd w:id="4"/>
      <w:r>
        <w:rPr>
          <w:lang w:val="en-US" w:eastAsia="zh-CN"/>
        </w:rPr>
        <w:t xml:space="preserve"> </w:t>
      </w:r>
    </w:p>
    <w:p w:rsidR="00210122" w:rsidRDefault="00210122">
      <w:pPr>
        <w:spacing w:before="120" w:after="120"/>
      </w:pPr>
    </w:p>
    <w:p w:rsidR="00210122" w:rsidRDefault="00D771E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210122" w:rsidRDefault="00D771EA"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 w:rsidR="00557644" w:rsidRDefault="00D771EA">
      <w:pPr>
        <w:pStyle w:val="TOC1"/>
        <w:tabs>
          <w:tab w:val="left" w:pos="126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>
        <w:fldChar w:fldCharType="begin"/>
      </w:r>
      <w:r>
        <w:instrText>TOC \n  \t "YJ-Proposal,1,sub-proposal,2,3rd level proposal,3" \h</w:instrText>
      </w:r>
      <w:r>
        <w:fldChar w:fldCharType="separate"/>
      </w:r>
      <w:hyperlink w:anchor="_Toc152621344" w:history="1">
        <w:r w:rsidR="00557644" w:rsidRPr="009558F0">
          <w:rPr>
            <w:rStyle w:val="af7"/>
            <w:noProof/>
          </w:rPr>
          <w:t>Proposal 1:</w:t>
        </w:r>
        <w:r w:rsidR="00557644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57644" w:rsidRPr="009558F0">
          <w:rPr>
            <w:rStyle w:val="af7"/>
            <w:noProof/>
          </w:rPr>
          <w:t>Define a new device type for 2Rx XR device, which is restricted to devices that are to be supported only by/behind the ears and by a nose-bridge resulting in a constrained form factor with limited volume available for Rx chains.</w:t>
        </w:r>
      </w:hyperlink>
    </w:p>
    <w:p w:rsidR="00557644" w:rsidRDefault="00557644">
      <w:pPr>
        <w:pStyle w:val="TOC1"/>
        <w:tabs>
          <w:tab w:val="left" w:pos="126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52621345" w:history="1">
        <w:r w:rsidRPr="009558F0">
          <w:rPr>
            <w:rStyle w:val="af7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9558F0">
          <w:rPr>
            <w:rStyle w:val="af7"/>
            <w:noProof/>
          </w:rPr>
          <w:t>Whether the number of Rx antenna can be relaxed for any new frequency bands introduced in the future should be discussed separately.</w:t>
        </w:r>
      </w:hyperlink>
    </w:p>
    <w:p w:rsidR="00557644" w:rsidRDefault="00557644">
      <w:pPr>
        <w:pStyle w:val="TOC1"/>
        <w:tabs>
          <w:tab w:val="left" w:pos="126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52621346" w:history="1">
        <w:r w:rsidRPr="009558F0">
          <w:rPr>
            <w:rStyle w:val="af7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9558F0">
          <w:rPr>
            <w:rStyle w:val="af7"/>
            <w:noProof/>
          </w:rPr>
          <w:t>If 2RX devices are supported in Rel-18, the corresponding work for the network to identify the 2RX devices and any associated work to enable access restrictions if needed, should also be specified within Rel-18. Alternatively, support of</w:t>
        </w:r>
        <w:bookmarkStart w:id="5" w:name="_GoBack"/>
        <w:bookmarkEnd w:id="5"/>
        <w:r w:rsidRPr="009558F0">
          <w:rPr>
            <w:rStyle w:val="af7"/>
            <w:noProof/>
          </w:rPr>
          <w:t xml:space="preserve"> these can be moved to Rel-19 with the intention to enable early implementation of the feature.</w:t>
        </w:r>
      </w:hyperlink>
    </w:p>
    <w:p w:rsidR="00210122" w:rsidRDefault="00D771EA">
      <w:pPr>
        <w:spacing w:before="120" w:after="120"/>
        <w:rPr>
          <w:szCs w:val="22"/>
        </w:rPr>
      </w:pPr>
      <w:r>
        <w:fldChar w:fldCharType="end"/>
      </w:r>
    </w:p>
    <w:p w:rsidR="00210122" w:rsidRDefault="00D771E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210122" w:rsidRDefault="00D771EA">
      <w:pPr>
        <w:pStyle w:val="References"/>
        <w:spacing w:before="120" w:after="120"/>
        <w:ind w:left="363" w:hanging="363"/>
      </w:pPr>
      <w:r>
        <w:rPr>
          <w:rFonts w:hint="eastAsia"/>
        </w:rPr>
        <w:t>RP-232657, Summary of offline session on 2Rx for XR, Offline session moderator (Nokia), 3GPP TSG RAN Meeting #101, Bengaluru, India 11th</w:t>
      </w:r>
      <w:r>
        <w:rPr>
          <w:rFonts w:hint="eastAsia"/>
        </w:rPr>
        <w:t>–</w:t>
      </w:r>
      <w:r>
        <w:rPr>
          <w:rFonts w:hint="eastAsia"/>
        </w:rPr>
        <w:t>15th September, 2023.</w:t>
      </w:r>
    </w:p>
    <w:p w:rsidR="00210122" w:rsidRDefault="00D771EA">
      <w:pPr>
        <w:pStyle w:val="References"/>
        <w:spacing w:before="120" w:after="120"/>
      </w:pPr>
      <w:r>
        <w:rPr>
          <w:rFonts w:hint="eastAsia"/>
        </w:rPr>
        <w:t>RP-223262</w:t>
      </w:r>
      <w:r>
        <w:t>. Views on XR specific enhancements for Rel-18 WI. 3GPP T</w:t>
      </w:r>
      <w:r>
        <w:t xml:space="preserve">SG RAN Meeting#98-e, Dec 12th – Dec 16th, 2022. ZTE Corporation, </w:t>
      </w:r>
      <w:proofErr w:type="spellStart"/>
      <w:r>
        <w:t>Sanechips</w:t>
      </w:r>
      <w:proofErr w:type="spellEnd"/>
    </w:p>
    <w:p w:rsidR="00210122" w:rsidRDefault="00210122">
      <w:pPr>
        <w:pStyle w:val="References"/>
        <w:numPr>
          <w:ilvl w:val="0"/>
          <w:numId w:val="0"/>
        </w:numPr>
        <w:spacing w:before="120" w:after="120"/>
        <w:rPr>
          <w:highlight w:val="yellow"/>
        </w:rPr>
      </w:pPr>
    </w:p>
    <w:sectPr w:rsidR="002101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1EA" w:rsidRDefault="00D771EA">
      <w:pPr>
        <w:spacing w:before="120" w:after="120" w:line="240" w:lineRule="auto"/>
      </w:pPr>
      <w:r>
        <w:separator/>
      </w:r>
    </w:p>
  </w:endnote>
  <w:endnote w:type="continuationSeparator" w:id="0">
    <w:p w:rsidR="00D771EA" w:rsidRDefault="00D771E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210122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D771EA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10122" w:rsidRDefault="00D771EA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210122" w:rsidRDefault="00D771EA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210122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1EA" w:rsidRDefault="00D771EA">
      <w:pPr>
        <w:spacing w:before="120" w:after="120"/>
      </w:pPr>
      <w:r>
        <w:separator/>
      </w:r>
    </w:p>
  </w:footnote>
  <w:footnote w:type="continuationSeparator" w:id="0">
    <w:p w:rsidR="00D771EA" w:rsidRDefault="00D771EA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210122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210122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122" w:rsidRDefault="00210122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CA3F6B3"/>
    <w:multiLevelType w:val="singleLevel"/>
    <w:tmpl w:val="BCA3F6B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8633435"/>
    <w:multiLevelType w:val="multilevel"/>
    <w:tmpl w:val="48633435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0E6583"/>
    <w:multiLevelType w:val="multilevel"/>
    <w:tmpl w:val="6A0E6583"/>
    <w:lvl w:ilvl="0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0423"/>
    <w:rsid w:val="00051F4E"/>
    <w:rsid w:val="000529AC"/>
    <w:rsid w:val="00071FB7"/>
    <w:rsid w:val="00072FB0"/>
    <w:rsid w:val="0007790D"/>
    <w:rsid w:val="00077A1A"/>
    <w:rsid w:val="00090D39"/>
    <w:rsid w:val="00093DF3"/>
    <w:rsid w:val="000A15BE"/>
    <w:rsid w:val="000A168E"/>
    <w:rsid w:val="000C1A96"/>
    <w:rsid w:val="000D0462"/>
    <w:rsid w:val="000D627E"/>
    <w:rsid w:val="000E2433"/>
    <w:rsid w:val="000F28CA"/>
    <w:rsid w:val="001009B8"/>
    <w:rsid w:val="00103906"/>
    <w:rsid w:val="00120AF7"/>
    <w:rsid w:val="00142961"/>
    <w:rsid w:val="001470AA"/>
    <w:rsid w:val="00153BF7"/>
    <w:rsid w:val="00154DBD"/>
    <w:rsid w:val="0016113B"/>
    <w:rsid w:val="001632AB"/>
    <w:rsid w:val="00172A27"/>
    <w:rsid w:val="001754AE"/>
    <w:rsid w:val="0018654F"/>
    <w:rsid w:val="0018732E"/>
    <w:rsid w:val="00191912"/>
    <w:rsid w:val="00195F46"/>
    <w:rsid w:val="001A1539"/>
    <w:rsid w:val="001B3634"/>
    <w:rsid w:val="001C1894"/>
    <w:rsid w:val="001C196F"/>
    <w:rsid w:val="001D1287"/>
    <w:rsid w:val="001E0651"/>
    <w:rsid w:val="001E125B"/>
    <w:rsid w:val="001E262F"/>
    <w:rsid w:val="001F1BB1"/>
    <w:rsid w:val="001F415E"/>
    <w:rsid w:val="001F6E58"/>
    <w:rsid w:val="0020406B"/>
    <w:rsid w:val="00210122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BCE"/>
    <w:rsid w:val="00261C72"/>
    <w:rsid w:val="0026766E"/>
    <w:rsid w:val="002748A9"/>
    <w:rsid w:val="00282069"/>
    <w:rsid w:val="002B4661"/>
    <w:rsid w:val="002C4448"/>
    <w:rsid w:val="002C68AC"/>
    <w:rsid w:val="002C7CC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D5CFD"/>
    <w:rsid w:val="003F7415"/>
    <w:rsid w:val="004003D2"/>
    <w:rsid w:val="004209E1"/>
    <w:rsid w:val="0042238B"/>
    <w:rsid w:val="00450C17"/>
    <w:rsid w:val="004527B1"/>
    <w:rsid w:val="004545A5"/>
    <w:rsid w:val="004557D2"/>
    <w:rsid w:val="004608F6"/>
    <w:rsid w:val="004724B4"/>
    <w:rsid w:val="00472B06"/>
    <w:rsid w:val="00477655"/>
    <w:rsid w:val="0048120F"/>
    <w:rsid w:val="00482706"/>
    <w:rsid w:val="00490434"/>
    <w:rsid w:val="004A142B"/>
    <w:rsid w:val="004A2759"/>
    <w:rsid w:val="004A5D1D"/>
    <w:rsid w:val="004A699E"/>
    <w:rsid w:val="004B44A9"/>
    <w:rsid w:val="004C1A54"/>
    <w:rsid w:val="004D2637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57644"/>
    <w:rsid w:val="00564BCB"/>
    <w:rsid w:val="005725AF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808"/>
    <w:rsid w:val="005E2C89"/>
    <w:rsid w:val="005F26E5"/>
    <w:rsid w:val="00604404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76C72"/>
    <w:rsid w:val="00680FFF"/>
    <w:rsid w:val="00691376"/>
    <w:rsid w:val="006922EF"/>
    <w:rsid w:val="00694FB9"/>
    <w:rsid w:val="006A2804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2237"/>
    <w:rsid w:val="007036F7"/>
    <w:rsid w:val="0070691A"/>
    <w:rsid w:val="0070693A"/>
    <w:rsid w:val="00707117"/>
    <w:rsid w:val="00717A38"/>
    <w:rsid w:val="0073053B"/>
    <w:rsid w:val="00735DC1"/>
    <w:rsid w:val="00737786"/>
    <w:rsid w:val="007427BB"/>
    <w:rsid w:val="007440A2"/>
    <w:rsid w:val="00745143"/>
    <w:rsid w:val="00747C56"/>
    <w:rsid w:val="007501AC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33D8"/>
    <w:rsid w:val="007B447A"/>
    <w:rsid w:val="007B458B"/>
    <w:rsid w:val="007C4328"/>
    <w:rsid w:val="007C440F"/>
    <w:rsid w:val="007D2C32"/>
    <w:rsid w:val="007E4A23"/>
    <w:rsid w:val="007F39F4"/>
    <w:rsid w:val="00802A15"/>
    <w:rsid w:val="00810C42"/>
    <w:rsid w:val="00816EF3"/>
    <w:rsid w:val="008266C4"/>
    <w:rsid w:val="008412CD"/>
    <w:rsid w:val="00842BFF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C2278"/>
    <w:rsid w:val="008F255E"/>
    <w:rsid w:val="008F3DC8"/>
    <w:rsid w:val="00903A35"/>
    <w:rsid w:val="00913703"/>
    <w:rsid w:val="00922624"/>
    <w:rsid w:val="00923BDA"/>
    <w:rsid w:val="0093617A"/>
    <w:rsid w:val="009411A5"/>
    <w:rsid w:val="00942AEE"/>
    <w:rsid w:val="00946A7C"/>
    <w:rsid w:val="00950DB1"/>
    <w:rsid w:val="00952C83"/>
    <w:rsid w:val="00956A30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5B5E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2A7"/>
    <w:rsid w:val="00A21523"/>
    <w:rsid w:val="00A26720"/>
    <w:rsid w:val="00A33BD9"/>
    <w:rsid w:val="00A40C3F"/>
    <w:rsid w:val="00A4182C"/>
    <w:rsid w:val="00A50B2A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967AB"/>
    <w:rsid w:val="00AA1889"/>
    <w:rsid w:val="00AB0AA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2602"/>
    <w:rsid w:val="00B138E9"/>
    <w:rsid w:val="00B179E3"/>
    <w:rsid w:val="00B245AA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49FA"/>
    <w:rsid w:val="00BD72A5"/>
    <w:rsid w:val="00BE22EC"/>
    <w:rsid w:val="00BE5D22"/>
    <w:rsid w:val="00BE7970"/>
    <w:rsid w:val="00BF526E"/>
    <w:rsid w:val="00BF743C"/>
    <w:rsid w:val="00C014A9"/>
    <w:rsid w:val="00C07C74"/>
    <w:rsid w:val="00C12784"/>
    <w:rsid w:val="00C16276"/>
    <w:rsid w:val="00C2142E"/>
    <w:rsid w:val="00C22FCF"/>
    <w:rsid w:val="00C2334E"/>
    <w:rsid w:val="00C2713A"/>
    <w:rsid w:val="00C34FD0"/>
    <w:rsid w:val="00C625E3"/>
    <w:rsid w:val="00C65B20"/>
    <w:rsid w:val="00C67AE3"/>
    <w:rsid w:val="00C76271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D71E9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14E2"/>
    <w:rsid w:val="00D7289E"/>
    <w:rsid w:val="00D771EA"/>
    <w:rsid w:val="00D82CF5"/>
    <w:rsid w:val="00D838A0"/>
    <w:rsid w:val="00D871C4"/>
    <w:rsid w:val="00D8785A"/>
    <w:rsid w:val="00D91349"/>
    <w:rsid w:val="00D92E3B"/>
    <w:rsid w:val="00D93BC0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609B"/>
    <w:rsid w:val="00E92BF0"/>
    <w:rsid w:val="00E94718"/>
    <w:rsid w:val="00E95FFE"/>
    <w:rsid w:val="00EA0820"/>
    <w:rsid w:val="00EB70EA"/>
    <w:rsid w:val="00EC1DAF"/>
    <w:rsid w:val="00ED0DCA"/>
    <w:rsid w:val="00ED47A7"/>
    <w:rsid w:val="00EE1EE7"/>
    <w:rsid w:val="00EF6AF5"/>
    <w:rsid w:val="00F019E9"/>
    <w:rsid w:val="00F03760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1D8A"/>
    <w:rsid w:val="00FA3FD9"/>
    <w:rsid w:val="00FA6AF6"/>
    <w:rsid w:val="00FA7D65"/>
    <w:rsid w:val="00FB593A"/>
    <w:rsid w:val="00FC1AD0"/>
    <w:rsid w:val="00FC20D8"/>
    <w:rsid w:val="00FC3D4E"/>
    <w:rsid w:val="00FC6D99"/>
    <w:rsid w:val="00FC72FB"/>
    <w:rsid w:val="00FE08CB"/>
    <w:rsid w:val="00FE0900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90B49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487AC2"/>
    <w:rsid w:val="2B64015F"/>
    <w:rsid w:val="2B644948"/>
    <w:rsid w:val="2B7C6921"/>
    <w:rsid w:val="2B9C4F86"/>
    <w:rsid w:val="2BB807BB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8A7EF5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82920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393315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ECB1D"/>
  <w15:docId w15:val="{C0BB8EAA-DC87-4083-88FF-CA1AB561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3620"/>
        <w:tab w:val="left" w:pos="1619"/>
      </w:tabs>
      <w:spacing w:before="60"/>
      <w:ind w:left="1619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32">
    <w:name w:val="修订3"/>
    <w:hidden/>
    <w:uiPriority w:val="99"/>
    <w:unhideWhenUsed/>
    <w:qFormat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/Specification-Groups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1D3CF5-D600-4964-BCB2-E65252FF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ZTE-LRY</cp:lastModifiedBy>
  <cp:revision>5</cp:revision>
  <dcterms:created xsi:type="dcterms:W3CDTF">2023-12-01T12:28:00Z</dcterms:created>
  <dcterms:modified xsi:type="dcterms:W3CDTF">2023-12-04T14:28:00Z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E4D3916CA0A740E59014EB496AFD1FCE</vt:lpwstr>
  </property>
</Properties>
</file>